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Call-Off Schedule 10 (Exit Management)</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provision of the Deliverables;</w:t>
            </w:r>
          </w:p>
        </w:tc>
      </w:tr>
      <w:tr>
        <w:trPr>
          <w:cantSplit w:val="0"/>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tc>
        <w:tc>
          <w:tcPr/>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 Assets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connection with the Deliverables but which are also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other purposes;</w:t>
            </w:r>
          </w:p>
        </w:tc>
      </w:tr>
      <w:tr>
        <w:trPr>
          <w:cantSplit w:val="0"/>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p>
        </w:tc>
      </w:tr>
      <w:tr>
        <w:trPr>
          <w:cantSplit w:val="0"/>
          <w:tblHeader w:val="0"/>
        </w:trPr>
        <w:tc>
          <w:tcPr/>
          <w:p w:rsidR="00000000" w:rsidDel="00000000" w:rsidP="00000000" w:rsidRDefault="00000000" w:rsidRPr="00000000" w14:paraId="0000001B">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2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rPr>
          <w:cantSplit w:val="0"/>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B">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3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4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42">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3">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4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every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throughout the Contract Period; and</w:t>
      </w:r>
    </w:p>
    <w:p w:rsidR="00000000" w:rsidDel="00000000" w:rsidP="00000000" w:rsidRDefault="00000000" w:rsidRPr="00000000" w14:paraId="0000004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a request from the Buyer for an up-to-date copy of the Exit Plan; </w:t>
      </w:r>
    </w:p>
    <w:p w:rsidR="00000000" w:rsidDel="00000000" w:rsidP="00000000" w:rsidRDefault="00000000" w:rsidRPr="00000000" w14:paraId="0000004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ten (10)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date of the Termination Assistance Notice;</w:t>
      </w:r>
    </w:p>
    <w:p w:rsidR="00000000" w:rsidDel="00000000" w:rsidP="00000000" w:rsidRDefault="00000000" w:rsidRPr="00000000" w14:paraId="00000047">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any material change to the Deliverables (including all changes under the Variation Procedure); and  </w:t>
      </w:r>
    </w:p>
    <w:p w:rsidR="00000000" w:rsidDel="00000000" w:rsidP="00000000" w:rsidRDefault="00000000" w:rsidRPr="00000000" w14:paraId="0000004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4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extension shall extend the Termination Assistance Period beyond the date twelve (12) Months after the End Date; and </w:t>
      </w:r>
    </w:p>
    <w:p w:rsidR="00000000" w:rsidDel="00000000" w:rsidP="00000000" w:rsidRDefault="00000000" w:rsidRPr="00000000" w14:paraId="0000005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4">
      <w:pPr>
        <w:keepNext w:val="1"/>
        <w:keepLines w:val="1"/>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60">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6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3">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7">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8">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6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D">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6E">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6F">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7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936" w:right="0" w:hanging="349.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5">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9">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7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1mghml" w:id="36"/>
      <w:bookmarkEnd w:id="36"/>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7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0">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81">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8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w:t>
    </w:r>
    <w:r w:rsidDel="00000000" w:rsidR="00000000" w:rsidRPr="00000000">
      <w:rPr>
        <w:rFonts w:ascii="Arial" w:cs="Arial" w:eastAsia="Arial" w:hAnsi="Arial"/>
        <w:sz w:val="20"/>
        <w:szCs w:val="20"/>
        <w:rtl w:val="0"/>
      </w:rPr>
      <w:t xml:space="preserve">40 Public Sector Legal Services Framework</w:t>
    </w: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10 (Exit Management)</w:t>
    </w: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8"/>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3eeyyxuEOfnJS6qFPFSHuCrei/Q==">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2020-02-27T11:56:00Z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